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338" w:rsidRDefault="00E2758A" w:rsidP="00030338">
      <w:pPr>
        <w:pStyle w:val="walnut-Nadpis1"/>
        <w:rPr>
          <w:b w:val="0"/>
        </w:rPr>
      </w:pPr>
      <w:r>
        <w:rPr>
          <w:b w:val="0"/>
        </w:rPr>
        <w:t>Technická specifikace</w:t>
      </w:r>
    </w:p>
    <w:p w:rsidR="006B64AC" w:rsidRPr="00D360FD" w:rsidRDefault="006B64AC" w:rsidP="00D360FD">
      <w:pPr>
        <w:pStyle w:val="Zhlav"/>
        <w:rPr>
          <w:kern w:val="2"/>
        </w:rPr>
      </w:pPr>
    </w:p>
    <w:tbl>
      <w:tblPr>
        <w:tblW w:w="9075" w:type="dxa"/>
        <w:tblInd w:w="57" w:type="dxa"/>
        <w:tblLayout w:type="fixed"/>
        <w:tblCellMar>
          <w:top w:w="28" w:type="dxa"/>
          <w:left w:w="57" w:type="dxa"/>
          <w:bottom w:w="28" w:type="dxa"/>
          <w:right w:w="57" w:type="dxa"/>
        </w:tblCellMar>
        <w:tblLook w:val="04A0"/>
      </w:tblPr>
      <w:tblGrid>
        <w:gridCol w:w="2269"/>
        <w:gridCol w:w="6806"/>
      </w:tblGrid>
      <w:tr w:rsidR="00477C4D" w:rsidTr="009F1AD7">
        <w:tc>
          <w:tcPr>
            <w:tcW w:w="2269" w:type="dxa"/>
            <w:hideMark/>
          </w:tcPr>
          <w:p w:rsidR="00477C4D" w:rsidRDefault="00477C4D">
            <w:pPr>
              <w:rPr>
                <w:b/>
                <w:bCs/>
                <w:kern w:val="2"/>
              </w:rPr>
            </w:pPr>
            <w:r>
              <w:rPr>
                <w:b/>
              </w:rPr>
              <w:t>Název veřejné zakázky</w:t>
            </w:r>
          </w:p>
        </w:tc>
        <w:tc>
          <w:tcPr>
            <w:tcW w:w="6806" w:type="dxa"/>
            <w:tcBorders>
              <w:top w:val="nil"/>
              <w:left w:val="single" w:sz="4" w:space="0" w:color="000000"/>
              <w:bottom w:val="nil"/>
              <w:right w:val="nil"/>
            </w:tcBorders>
            <w:hideMark/>
          </w:tcPr>
          <w:p w:rsidR="00477C4D" w:rsidRDefault="00477C4D">
            <w:r>
              <w:rPr>
                <w:bCs/>
              </w:rPr>
              <w:t>Dopravní automobil s požárním přívěsem nákladním</w:t>
            </w:r>
          </w:p>
        </w:tc>
      </w:tr>
      <w:tr w:rsidR="00477C4D" w:rsidTr="009F1AD7">
        <w:tc>
          <w:tcPr>
            <w:tcW w:w="2269" w:type="dxa"/>
            <w:hideMark/>
          </w:tcPr>
          <w:p w:rsidR="00477C4D" w:rsidRDefault="00477C4D">
            <w:pPr>
              <w:rPr>
                <w:rFonts w:asciiTheme="minorHAnsi" w:hAnsiTheme="minorHAnsi"/>
                <w:b/>
              </w:rPr>
            </w:pPr>
            <w:r>
              <w:rPr>
                <w:rFonts w:asciiTheme="minorHAnsi" w:hAnsiTheme="minorHAnsi"/>
                <w:b/>
              </w:rPr>
              <w:t>Druh veřejné zakázky</w:t>
            </w:r>
          </w:p>
        </w:tc>
        <w:tc>
          <w:tcPr>
            <w:tcW w:w="6806" w:type="dxa"/>
            <w:tcBorders>
              <w:top w:val="nil"/>
              <w:left w:val="single" w:sz="4" w:space="0" w:color="000000"/>
              <w:bottom w:val="nil"/>
              <w:right w:val="nil"/>
            </w:tcBorders>
            <w:hideMark/>
          </w:tcPr>
          <w:p w:rsidR="00477C4D" w:rsidRDefault="00477C4D">
            <w:r>
              <w:t xml:space="preserve">veřejná zakázka malého rozsahu na dodávky, </w:t>
            </w:r>
            <w:proofErr w:type="spellStart"/>
            <w:r w:rsidR="007931F7">
              <w:rPr>
                <w:lang w:val="en-GB"/>
              </w:rPr>
              <w:t>zadávací</w:t>
            </w:r>
            <w:proofErr w:type="spellEnd"/>
            <w:r w:rsidR="007931F7">
              <w:rPr>
                <w:lang w:val="en-GB"/>
              </w:rPr>
              <w:t xml:space="preserve"> </w:t>
            </w:r>
            <w:proofErr w:type="spellStart"/>
            <w:r w:rsidR="007931F7">
              <w:rPr>
                <w:lang w:val="en-GB"/>
              </w:rPr>
              <w:t>řízení</w:t>
            </w:r>
            <w:proofErr w:type="spellEnd"/>
            <w:r w:rsidR="007931F7">
              <w:rPr>
                <w:lang w:val="en-GB"/>
              </w:rPr>
              <w:t xml:space="preserve"> </w:t>
            </w:r>
            <w:proofErr w:type="spellStart"/>
            <w:r w:rsidR="007931F7">
              <w:rPr>
                <w:lang w:val="en-GB"/>
              </w:rPr>
              <w:t>mimo</w:t>
            </w:r>
            <w:proofErr w:type="spellEnd"/>
            <w:r w:rsidR="007931F7">
              <w:rPr>
                <w:lang w:val="en-GB"/>
              </w:rPr>
              <w:t xml:space="preserve"> </w:t>
            </w:r>
            <w:proofErr w:type="spellStart"/>
            <w:r w:rsidR="007931F7">
              <w:rPr>
                <w:lang w:val="en-GB"/>
              </w:rPr>
              <w:t>režim</w:t>
            </w:r>
            <w:proofErr w:type="spellEnd"/>
            <w:r w:rsidR="007931F7">
              <w:rPr>
                <w:lang w:val="en-GB"/>
              </w:rPr>
              <w:t xml:space="preserve"> </w:t>
            </w:r>
            <w:r>
              <w:t xml:space="preserve">zákona č. 137/2006 Sb., o veřejných zakázkách v platném znění </w:t>
            </w:r>
          </w:p>
        </w:tc>
      </w:tr>
      <w:tr w:rsidR="009F1AD7" w:rsidTr="009F1AD7">
        <w:tc>
          <w:tcPr>
            <w:tcW w:w="2269" w:type="dxa"/>
          </w:tcPr>
          <w:p w:rsidR="009F1AD7" w:rsidRDefault="009F1AD7">
            <w:pPr>
              <w:rPr>
                <w:rFonts w:asciiTheme="minorHAnsi" w:hAnsiTheme="minorHAnsi"/>
                <w:b/>
              </w:rPr>
            </w:pPr>
            <w:r>
              <w:rPr>
                <w:rFonts w:asciiTheme="minorHAnsi" w:hAnsiTheme="minorHAnsi"/>
                <w:b/>
              </w:rPr>
              <w:t>Zadavatel</w:t>
            </w:r>
          </w:p>
        </w:tc>
        <w:tc>
          <w:tcPr>
            <w:tcW w:w="6806" w:type="dxa"/>
            <w:tcBorders>
              <w:top w:val="nil"/>
              <w:left w:val="single" w:sz="4" w:space="0" w:color="000000"/>
              <w:bottom w:val="nil"/>
              <w:right w:val="nil"/>
            </w:tcBorders>
          </w:tcPr>
          <w:p w:rsidR="009F1AD7" w:rsidRDefault="009F1AD7">
            <w:r>
              <w:t>Obec Kunčina, sídlo: Kunčina 204, 56924, Kunčina, IČ: 00276880</w:t>
            </w:r>
          </w:p>
        </w:tc>
      </w:tr>
    </w:tbl>
    <w:p w:rsidR="009F1AD7" w:rsidRDefault="009F1AD7" w:rsidP="00E2758A">
      <w:pPr>
        <w:rPr>
          <w:rFonts w:ascii="Arial" w:hAnsi="Arial" w:cs="Arial"/>
          <w:sz w:val="20"/>
        </w:rPr>
      </w:pPr>
    </w:p>
    <w:p w:rsidR="00E2758A" w:rsidRDefault="00E2758A" w:rsidP="00E2758A">
      <w:pPr>
        <w:rPr>
          <w:rFonts w:ascii="Arial" w:hAnsi="Arial" w:cs="Arial"/>
          <w:sz w:val="20"/>
        </w:rPr>
      </w:pPr>
    </w:p>
    <w:p w:rsidR="00E2758A" w:rsidRDefault="00E2758A" w:rsidP="00E2758A">
      <w:pPr>
        <w:pStyle w:val="walnut-Odstavec1"/>
      </w:pPr>
      <w:r>
        <w:t>Dopravní automobil</w:t>
      </w:r>
    </w:p>
    <w:p w:rsidR="00E2758A" w:rsidRDefault="00E2758A" w:rsidP="00E2758A">
      <w:pPr>
        <w:pStyle w:val="walnut-Odstavec2"/>
      </w:pPr>
      <w:r>
        <w:t>Jedná se o kategorii dopravního automobilu</w:t>
      </w:r>
      <w:r w:rsidR="00D51DF4">
        <w:t xml:space="preserve"> (dále jen „DA“)</w:t>
      </w:r>
      <w:r>
        <w:t xml:space="preserve"> v provedení „Z“ (základní), kategorie podvozku 1 „pro městský provoz“. </w:t>
      </w:r>
    </w:p>
    <w:p w:rsidR="00E2758A" w:rsidRDefault="00E2758A" w:rsidP="00E2758A">
      <w:pPr>
        <w:pStyle w:val="walnut-Odstavec2"/>
      </w:pPr>
      <w:r>
        <w:t>Hmotnost automobilu se bude pohybova</w:t>
      </w:r>
      <w:r w:rsidR="007931F7">
        <w:t>t</w:t>
      </w:r>
      <w:r>
        <w:t xml:space="preserve"> v rozmezí od 3000 kg do 3500 kg. </w:t>
      </w:r>
    </w:p>
    <w:p w:rsidR="00E2758A" w:rsidRDefault="00D51DF4" w:rsidP="00E2758A">
      <w:pPr>
        <w:pStyle w:val="walnut-Odstavec2"/>
      </w:pPr>
      <w:r>
        <w:t xml:space="preserve">DA </w:t>
      </w:r>
      <w:r w:rsidR="00E2758A">
        <w:t>musí splňovat následující požadavky:</w:t>
      </w:r>
    </w:p>
    <w:p w:rsidR="00E2758A" w:rsidRDefault="00E2758A" w:rsidP="00E2758A">
      <w:pPr>
        <w:pStyle w:val="walnut-Odstavec3"/>
      </w:pPr>
      <w:r>
        <w:t xml:space="preserve">Předpis pro provoz vozidel na pozemních komunikacích v ČR, a veškeré povinné údaje k provedení a vybavení </w:t>
      </w:r>
      <w:r w:rsidR="00D51DF4">
        <w:t>DA, včetně výjimek, které jsou uvedeny v osvědčení o registraci vozidla část II. (technický průkaz).</w:t>
      </w:r>
    </w:p>
    <w:p w:rsidR="00D51DF4" w:rsidRDefault="00D51DF4" w:rsidP="00E2758A">
      <w:pPr>
        <w:pStyle w:val="walnut-Odstavec3"/>
      </w:pPr>
      <w:r>
        <w:t>Vyhláška č. 35/2007 Sb., o technických podmínkách požární techniky, ve znění vyhlášky č. 53/2010 Sb., a doložené při dodání DA kopií certifikátu vydaného pro požadovaný typ dopravního automobilu autorizovanou osobou, případně prohlášením o shodě výrobku.</w:t>
      </w:r>
    </w:p>
    <w:p w:rsidR="00D51DF4" w:rsidRDefault="00D51DF4" w:rsidP="00E2758A">
      <w:pPr>
        <w:pStyle w:val="walnut-Odstavec3"/>
      </w:pPr>
      <w:r>
        <w:t xml:space="preserve">Vyhláška č. 247/2001 Sb., o organizaci a činnosti jednotek požární ochrany ve znění pozdějších předpisů. </w:t>
      </w:r>
    </w:p>
    <w:p w:rsidR="00D51DF4" w:rsidRDefault="00D51DF4" w:rsidP="00D51DF4">
      <w:pPr>
        <w:pStyle w:val="walnut-Odstavec2"/>
      </w:pPr>
      <w:r>
        <w:t xml:space="preserve">DA je v prostoru místa nástupu strojníka (řidiče) vybaven zásuvkou pro dobíjení a konzervaci akumulátorových baterií s napětím shodným v DA. Součástí dodávky je příslušný protikus a inteligentní nabíjecí zařízení. </w:t>
      </w:r>
    </w:p>
    <w:p w:rsidR="00D51DF4" w:rsidRDefault="00D51DF4" w:rsidP="00D51DF4">
      <w:pPr>
        <w:pStyle w:val="walnut-Odstavec2"/>
      </w:pPr>
      <w:r>
        <w:t xml:space="preserve">S ohledem na provoz DA v kopcovité krajině je pro DA </w:t>
      </w:r>
      <w:proofErr w:type="gramStart"/>
      <w:r>
        <w:t>použit</w:t>
      </w:r>
      <w:proofErr w:type="gramEnd"/>
      <w:r>
        <w:t xml:space="preserve"> automobilový podvozek se jmenovit</w:t>
      </w:r>
      <w:r w:rsidR="007931F7">
        <w:t xml:space="preserve">ým měrným výkonem nejméně 26 kW x </w:t>
      </w:r>
      <w:r>
        <w:t>1000 kg -1 největší technicky přípustné hmotnosti DA.</w:t>
      </w:r>
    </w:p>
    <w:p w:rsidR="00D51DF4" w:rsidRDefault="007B3EE5" w:rsidP="00D51DF4">
      <w:pPr>
        <w:pStyle w:val="walnut-Odstavec2"/>
      </w:pPr>
      <w:r>
        <w:t>Kabina osádky DA je vybavena analogovou radiostanicí kompatibilní s typem MD 785 výrobce HYTERA a příslušnou střešní anténou, kterou pro montáž dodá výrobce DA. Analogová radiostanice splňuje požadavky vyhlášky č. 69/2014 Sb.</w:t>
      </w:r>
    </w:p>
    <w:p w:rsidR="007B3EE5" w:rsidRDefault="007B3EE5" w:rsidP="00D51DF4">
      <w:pPr>
        <w:pStyle w:val="walnut-Odstavec2"/>
      </w:pPr>
      <w:r>
        <w:t xml:space="preserve">DA bude vybaven dvěma požárními světlomety 12 V se světelným tokem každého světlometu nejméně 1300 </w:t>
      </w:r>
      <w:proofErr w:type="spellStart"/>
      <w:r>
        <w:t>lm</w:t>
      </w:r>
      <w:proofErr w:type="spellEnd"/>
      <w:r>
        <w:t xml:space="preserve">. Požární světlomety mají magnetické uchycení a jsou vybaveny kabelem o délce nejméně 3 m pro napojení na elektroinstalaci DA. Světlomety, kabely a vně karoserie umístěné zásuvky pro připojení mají krytí nejméně IP 54. </w:t>
      </w:r>
    </w:p>
    <w:p w:rsidR="007B3EE5" w:rsidRDefault="007B3EE5" w:rsidP="00D51DF4">
      <w:pPr>
        <w:pStyle w:val="walnut-Odstavec2"/>
      </w:pPr>
      <w:r>
        <w:t xml:space="preserve">Osvětlení prostoru okolo DA je zajištěno vně umístěnými zdroji neoslňujícího světla typu LED částečně zapuštěného do bočních stěn a do zadní stěny účelové nástavby. </w:t>
      </w:r>
    </w:p>
    <w:p w:rsidR="007B3EE5" w:rsidRDefault="007B3EE5" w:rsidP="00D51DF4">
      <w:pPr>
        <w:pStyle w:val="walnut-Odstavec2"/>
      </w:pPr>
      <w:r>
        <w:t xml:space="preserve">Kabinou osádky se rozumí prostor první řady sedadel, kterou tvoří nejméně sedadlo pro velitele a pro strojníka, druhé řady sedadel pro tři hasiče a třetí řady sedadel pro tři hasiče, nebo tři evakuované osoby při plnění úkolů na úseku ochrany obyvatelstva. </w:t>
      </w:r>
    </w:p>
    <w:p w:rsidR="007B3EE5" w:rsidRDefault="00893CFC" w:rsidP="00D51DF4">
      <w:pPr>
        <w:pStyle w:val="walnut-Odstavec2"/>
      </w:pPr>
      <w:r>
        <w:t xml:space="preserve">Kabina osádky je vybavena klimatizační jednotkou a druhým výměníkem topení umístěným v prostoru druhé a třetí řady sedadel. </w:t>
      </w:r>
    </w:p>
    <w:p w:rsidR="00893CFC" w:rsidRDefault="00893CFC" w:rsidP="00D51DF4">
      <w:pPr>
        <w:pStyle w:val="walnut-Odstavec2"/>
      </w:pPr>
      <w:r>
        <w:lastRenderedPageBreak/>
        <w:t xml:space="preserve">Kabina osádky je vybavena nejméně třemi dveřmi, z nichž alespoň jedny jsou posuvné. Kabina osádky je od zavazadlového prostoru oddělena pevnou přepážkou. </w:t>
      </w:r>
    </w:p>
    <w:p w:rsidR="00893CFC" w:rsidRDefault="00893CFC" w:rsidP="00D51DF4">
      <w:pPr>
        <w:pStyle w:val="walnut-Odstavec2"/>
      </w:pPr>
      <w:r>
        <w:t xml:space="preserve">Kabina osádky je vybavena dvěma dobíjecími úchyty pro ruční radiostanice kompatibilní s typem PD 565, výrobce HYTERA, úchyty pro montáž dodá výrobce DA. </w:t>
      </w:r>
    </w:p>
    <w:p w:rsidR="00893CFC" w:rsidRDefault="00893CFC" w:rsidP="00D51DF4">
      <w:pPr>
        <w:pStyle w:val="walnut-Odstavec2"/>
      </w:pPr>
      <w:r>
        <w:t xml:space="preserve">Kabina osádky je vybavena dvěma dobíjecími úchyty pro ruční svítilny kompatibilními s typem SURVIVOR LED ATEX, výrobce SURVIVOR úchyty pro montáž dodá výrobce DA. </w:t>
      </w:r>
    </w:p>
    <w:p w:rsidR="00893CFC" w:rsidRDefault="00893CFC" w:rsidP="00D51DF4">
      <w:pPr>
        <w:pStyle w:val="walnut-Odstavec2"/>
      </w:pPr>
      <w:r>
        <w:t xml:space="preserve">DA je v kabině osádky vybavena autorádiem a v dosahu sedadla velitele vybavena dvěma samostatnými automobilovými zásuvkami s napětím 12 V a elektrickým proudem 8 A, dále dvěma zásuvkami USB s elektrickým proudem nejméně 2 A pro případ napojení nabíjecích prvků mobilních telefonů. </w:t>
      </w:r>
    </w:p>
    <w:p w:rsidR="00893CFC" w:rsidRDefault="00893CFC" w:rsidP="00D51DF4">
      <w:pPr>
        <w:pStyle w:val="walnut-Odstavec2"/>
      </w:pPr>
      <w:r>
        <w:t xml:space="preserve">Zvláštní výstražné zařízení typu „rampa“ (velikost nejméně 3/5 šířky DA) umožňuje reprodukci mluveného slova a jeho světelná část modré barvy je opatřena synchronizovanými LED zdroji světla. Součástí zvláštního výstražného zařízení jsou dvě LED svítilny vyzařujícími světlo modré barvy, které jsou umístěny na přední straně kabiny osádky v prostoru pod předním oknem. Tyto svítilny se zapínají současně se zvláštním výstražným zařízením a lze je v případě potřeby vypnout samostatným vypínačem. </w:t>
      </w:r>
    </w:p>
    <w:p w:rsidR="00893CFC" w:rsidRDefault="00893CFC" w:rsidP="00893CFC">
      <w:pPr>
        <w:pStyle w:val="walnut-Odstavec2"/>
      </w:pPr>
      <w:r>
        <w:t>Úchytné a úložné prvky v prostorech jsou pro ulož</w:t>
      </w:r>
      <w:r w:rsidR="00CE1E1E">
        <w:t>ení požárního příslušenství</w:t>
      </w:r>
      <w:r>
        <w:t xml:space="preserve"> provedeny z lehkého kovu nebo jiného materiálu, s vysokou životností. </w:t>
      </w:r>
    </w:p>
    <w:p w:rsidR="00893CFC" w:rsidRDefault="00C1557E" w:rsidP="00893CFC">
      <w:pPr>
        <w:pStyle w:val="walnut-Odstavec2"/>
      </w:pPr>
      <w:r>
        <w:t xml:space="preserve">Oranžová blikající světla na zadní stěně účelové nástavby jsou v provedení LED a jsou sdružena do jednoho celku, v počtu nejméně čtyř světelných zdrojů. </w:t>
      </w:r>
    </w:p>
    <w:p w:rsidR="00C1557E" w:rsidRDefault="00C1557E" w:rsidP="00893CFC">
      <w:pPr>
        <w:pStyle w:val="walnut-Odstavec2"/>
      </w:pPr>
      <w:r>
        <w:t xml:space="preserve">Pro barevnou úpravu DA je použita bílá barva RAL 9003 a červená barva RAL 3000. Bílý vodorovný pruh je umístěn po obou stranách karoserie DA v celé její délce. </w:t>
      </w:r>
    </w:p>
    <w:p w:rsidR="00C1557E" w:rsidRDefault="00C1557E" w:rsidP="00893CFC">
      <w:pPr>
        <w:pStyle w:val="walnut-Odstavec2"/>
      </w:pPr>
      <w:r>
        <w:t xml:space="preserve">V bílém zvýrazňujícím vodorovném pruhu na obou předních dveřích kabiny osádky je umístěn nápis s označením dislokace jednotky. V prvním řádku je text „SBOR DOBROVOLNÝCH HASIČŮ“, a v druhém řádku je název obce „KUNČINA“. </w:t>
      </w:r>
    </w:p>
    <w:p w:rsidR="00C1557E" w:rsidRDefault="00C1557E" w:rsidP="00893CFC">
      <w:pPr>
        <w:pStyle w:val="walnut-Odstavec2"/>
      </w:pPr>
      <w:r>
        <w:t xml:space="preserve">Na přední části karosérie kabiny osádky pod předním oknem je umístěn nápis „HASIČI“ o výšce písma 100 až 200 mm. </w:t>
      </w:r>
    </w:p>
    <w:p w:rsidR="00C1557E" w:rsidRDefault="00C1557E" w:rsidP="00893CFC">
      <w:pPr>
        <w:pStyle w:val="walnut-Odstavec2"/>
      </w:pPr>
      <w:r>
        <w:t xml:space="preserve">Veškeré nápisy jsou provedeny kolmým bezpatkovým písmem, písmeny velké abecedy. </w:t>
      </w:r>
    </w:p>
    <w:p w:rsidR="00C1557E" w:rsidRDefault="00C1557E" w:rsidP="00893CFC">
      <w:pPr>
        <w:pStyle w:val="walnut-Odstavec2"/>
      </w:pPr>
      <w:r>
        <w:t xml:space="preserve">DA je vybaven tažným zařízením typu ISO-50X pro připojení požárního přívěsu kategorie 02 o celkové hmotnosti nejméně 2000 kg. </w:t>
      </w:r>
    </w:p>
    <w:p w:rsidR="00C1557E" w:rsidRDefault="00C1557E" w:rsidP="00893CFC">
      <w:pPr>
        <w:pStyle w:val="walnut-Odstavec2"/>
      </w:pPr>
      <w:r>
        <w:t>Kabina osádky DA je vybavena nejméně osmi sedadly. Sedadla jsou umístěna ve třech řadách orientovaná po směru jízdy</w:t>
      </w:r>
    </w:p>
    <w:p w:rsidR="00C1557E" w:rsidRDefault="005B64BB" w:rsidP="00893CFC">
      <w:pPr>
        <w:pStyle w:val="walnut-Odstavec2"/>
      </w:pPr>
      <w:r>
        <w:t xml:space="preserve">Výrobce DA dodá požární příslušenství podle vyhlášky č. 35/2007 Sb., ve znění vyhlášky č. 53/2010 Sb., s výjimkou položek dodaných zadavatele. </w:t>
      </w:r>
    </w:p>
    <w:p w:rsidR="005B64BB" w:rsidRDefault="005B64BB" w:rsidP="00893CFC">
      <w:pPr>
        <w:pStyle w:val="walnut-Odstavec2"/>
      </w:pPr>
      <w:r>
        <w:t>Výrobce DA dále dodá požární příslušenství v upřesněném provedení nebo upřesněném celkovém počtu:</w:t>
      </w:r>
    </w:p>
    <w:p w:rsidR="005B64BB" w:rsidRDefault="005B64BB" w:rsidP="005B64BB">
      <w:pPr>
        <w:pStyle w:val="walnut-Odstavec3"/>
      </w:pPr>
      <w:r>
        <w:t>Ruční radiostanice kompatibilní s typem PD565, výrobce HYTERA – 2 KS.</w:t>
      </w:r>
    </w:p>
    <w:p w:rsidR="005B64BB" w:rsidRDefault="005B64BB" w:rsidP="005B64BB">
      <w:pPr>
        <w:pStyle w:val="walnut-Odstavec3"/>
      </w:pPr>
      <w:r>
        <w:t xml:space="preserve">Ruční svítilna s dobíjecími akumulátory kompatibilní s typem SURVIVOR LED ATEX, výrobce SURVIVOR. </w:t>
      </w:r>
    </w:p>
    <w:p w:rsidR="005B64BB" w:rsidRDefault="005B64BB" w:rsidP="005B64BB">
      <w:pPr>
        <w:pStyle w:val="walnut-Odstavec2"/>
      </w:pPr>
      <w:r>
        <w:t xml:space="preserve">DA není vybaven zabudovaným zařízením prvotního zásahu, motorovou stříkačkou ani požárním čerpadlem. </w:t>
      </w:r>
    </w:p>
    <w:p w:rsidR="005B64BB" w:rsidRDefault="005B64BB" w:rsidP="005B64BB">
      <w:pPr>
        <w:pStyle w:val="walnut-Odstavec2"/>
      </w:pPr>
      <w:r>
        <w:t>Zavazadlový prostor DA je přístupný dveřmi na zadní straně karosérie a při uložení předepsaného rozsahu požárního příslušenství:</w:t>
      </w:r>
    </w:p>
    <w:p w:rsidR="005B64BB" w:rsidRDefault="005B64BB" w:rsidP="005B64BB">
      <w:pPr>
        <w:pStyle w:val="walnut-Odstavec3"/>
      </w:pPr>
      <w:r>
        <w:t xml:space="preserve">Umožňuje uložení zavazadel v počtu shodném s počtem sedadel s velikostí každého nejméně 120 l a hmotností nejméně 30 kg. </w:t>
      </w:r>
    </w:p>
    <w:p w:rsidR="005B64BB" w:rsidRDefault="005B64BB" w:rsidP="005B64BB">
      <w:pPr>
        <w:pStyle w:val="walnut-Odstavec3"/>
      </w:pPr>
      <w:r>
        <w:t xml:space="preserve">Má rozměry nejméně o délce 1200 a šířce 700 mm ve výšce 900 mm a nejméně čtyři kotvící body s tažnou silou každého nejméně 3 </w:t>
      </w:r>
      <w:proofErr w:type="spellStart"/>
      <w:r>
        <w:t>kN</w:t>
      </w:r>
      <w:proofErr w:type="spellEnd"/>
      <w:r>
        <w:t xml:space="preserve">. </w:t>
      </w:r>
    </w:p>
    <w:p w:rsidR="005B64BB" w:rsidRDefault="005B64BB" w:rsidP="005B64BB">
      <w:pPr>
        <w:pStyle w:val="walnut-Odstavec3"/>
      </w:pPr>
      <w:r>
        <w:lastRenderedPageBreak/>
        <w:t xml:space="preserve">Je vybaven výsuvným </w:t>
      </w:r>
      <w:r w:rsidR="00D55096">
        <w:t>platem pro uložení PS 12.</w:t>
      </w:r>
    </w:p>
    <w:p w:rsidR="00D55096" w:rsidRDefault="004E42E5" w:rsidP="00D55096">
      <w:pPr>
        <w:pStyle w:val="walnut-Odstavec2"/>
      </w:pPr>
      <w:r>
        <w:t xml:space="preserve">DA je konstruován s uspořádáním náprav 4 x 2. </w:t>
      </w:r>
    </w:p>
    <w:p w:rsidR="004E42E5" w:rsidRDefault="004E42E5" w:rsidP="00D55096">
      <w:pPr>
        <w:pStyle w:val="walnut-Odstavec2"/>
      </w:pPr>
      <w:r>
        <w:t>DA je vybaven střešním nosičem z </w:t>
      </w:r>
      <w:proofErr w:type="spellStart"/>
      <w:r>
        <w:t>Al</w:t>
      </w:r>
      <w:proofErr w:type="spellEnd"/>
      <w:r>
        <w:t xml:space="preserve"> profilů s pochozí lávkou pro uložení zavazadel. Vstup na střechu je zajištěn žebříkem s neklouzavou úpravou, vyrobený z antikorozních materiálů. Žebřík je upevněn na zadních dveřích. </w:t>
      </w:r>
    </w:p>
    <w:p w:rsidR="004E42E5" w:rsidRDefault="004E42E5" w:rsidP="00D55096">
      <w:pPr>
        <w:pStyle w:val="walnut-Odstavec2"/>
      </w:pPr>
      <w:r>
        <w:t xml:space="preserve">DA je vybaven zařízením proti blokování provozních brzd typu ABS nebo obdobným zařízením. </w:t>
      </w:r>
    </w:p>
    <w:p w:rsidR="004E42E5" w:rsidRDefault="004E42E5" w:rsidP="00D55096">
      <w:pPr>
        <w:pStyle w:val="walnut-Odstavec2"/>
      </w:pPr>
      <w:r>
        <w:t xml:space="preserve">Obě nápravy jsou osazeny koly vybavenými pneumatikami konstruovanými pro provoz na blátě a sněhu. </w:t>
      </w:r>
    </w:p>
    <w:p w:rsidR="004E42E5" w:rsidRDefault="004E42E5" w:rsidP="00D55096">
      <w:pPr>
        <w:pStyle w:val="walnut-Odstavec2"/>
      </w:pPr>
      <w:r>
        <w:t xml:space="preserve">DA je vybaven nejméně airbagem řidiče a spolujezdce. </w:t>
      </w:r>
    </w:p>
    <w:p w:rsidR="004E42E5" w:rsidRDefault="004E42E5" w:rsidP="00D55096">
      <w:pPr>
        <w:pStyle w:val="walnut-Odstavec2"/>
      </w:pPr>
      <w:r>
        <w:t xml:space="preserve">Součástí DA je povinná výbava motorových a přípojných vozidel stanovená právním předpisem. Veškeré příslušenství potřebné pro výměnu kola je umístěno v DA a je součástí dodávky, plnohodnotné náhradní kolo k DA je dodáno samostatně, příbalem. </w:t>
      </w:r>
    </w:p>
    <w:p w:rsidR="004E42E5" w:rsidRDefault="004E42E5" w:rsidP="004E42E5">
      <w:pPr>
        <w:pStyle w:val="walnut-Odstavec2"/>
      </w:pPr>
      <w:r>
        <w:t>Všechny položky požárního příslušenství a všechna zařízení použita pro montáž do DA splňují obecně stanovené bezpečnostní předpisy a jsou doložena návodem a příslušným dokladem (homologace, certifikát, prohlášení o shodě apod.)</w:t>
      </w:r>
    </w:p>
    <w:p w:rsidR="004E42E5" w:rsidRDefault="001D728C" w:rsidP="001D728C">
      <w:pPr>
        <w:pStyle w:val="walnut-Odstavec1"/>
      </w:pPr>
      <w:r>
        <w:t>Požární přívěs nákladní kategorie 01</w:t>
      </w:r>
    </w:p>
    <w:p w:rsidR="001D728C" w:rsidRDefault="001D728C" w:rsidP="001D728C">
      <w:pPr>
        <w:pStyle w:val="walnut-Odstavec2"/>
      </w:pPr>
      <w:r>
        <w:t xml:space="preserve">Požární přívěs nákladní (dále jen „PN“), splňuje požadavky předpisů pro provoz vozidel na pozemních komunikacích v ČR, a veškeré povinné údaje k provedení včetně výjimek, které jsou uvedeny v osvědčení o registraci vozidla část II. (technický průkaz), a požadavky uvedené v této technické specifikaci. </w:t>
      </w:r>
    </w:p>
    <w:p w:rsidR="001D728C" w:rsidRDefault="001D728C" w:rsidP="001D728C">
      <w:pPr>
        <w:pStyle w:val="walnut-Odstavec2"/>
      </w:pPr>
      <w:r>
        <w:t xml:space="preserve">PN má největší technicky přípustnou hmotnost 750 kg a užitečnou hmotnost nejméně 500 kg. </w:t>
      </w:r>
    </w:p>
    <w:p w:rsidR="001D728C" w:rsidRDefault="001D728C" w:rsidP="001D728C">
      <w:pPr>
        <w:pStyle w:val="walnut-Odstavec2"/>
      </w:pPr>
      <w:r>
        <w:t>PN je vybaven:</w:t>
      </w:r>
    </w:p>
    <w:p w:rsidR="001D728C" w:rsidRDefault="001D728C" w:rsidP="001D728C">
      <w:pPr>
        <w:pStyle w:val="walnut-Odstavec3"/>
      </w:pPr>
      <w:r>
        <w:t xml:space="preserve">Ložnou plochou o rozměrech nejméně 2000 x 1200 mm. </w:t>
      </w:r>
    </w:p>
    <w:p w:rsidR="001D728C" w:rsidRDefault="001D728C" w:rsidP="001D728C">
      <w:pPr>
        <w:pStyle w:val="walnut-Odstavec3"/>
      </w:pPr>
      <w:r>
        <w:t xml:space="preserve">Ložnou plochou s nejméně 4 kotvícími body v podlaze pro upevnění nákladu. </w:t>
      </w:r>
    </w:p>
    <w:p w:rsidR="001D728C" w:rsidRDefault="001D728C" w:rsidP="005E3A95">
      <w:pPr>
        <w:pStyle w:val="walnut-Odstavec3"/>
      </w:pPr>
      <w:r>
        <w:t xml:space="preserve">Na oji manipulačním opěrným kolečkem. </w:t>
      </w:r>
    </w:p>
    <w:p w:rsidR="001D728C" w:rsidRDefault="001D728C" w:rsidP="005E3A95">
      <w:pPr>
        <w:pStyle w:val="walnut-Odstavec3"/>
      </w:pPr>
      <w:r>
        <w:t xml:space="preserve">Nejméně 2 stabilizačními podpěrami poblíž rohů ložné plochy. </w:t>
      </w:r>
    </w:p>
    <w:p w:rsidR="001D728C" w:rsidRDefault="001D728C" w:rsidP="005E3A95">
      <w:pPr>
        <w:pStyle w:val="walnut-Odstavec3"/>
      </w:pPr>
      <w:r>
        <w:t xml:space="preserve">Nejméně 2 zakládacími klíny. </w:t>
      </w:r>
    </w:p>
    <w:p w:rsidR="001D728C" w:rsidRDefault="001D728C" w:rsidP="001D728C">
      <w:pPr>
        <w:pStyle w:val="walnut-Odstavec2"/>
      </w:pPr>
      <w:r>
        <w:t xml:space="preserve">Ložná plocha PN je vybavena zadním sklopným čelem a pevnými bočnicemi z plechů a profilů z žárově zinkované oceli, o výšce nejméně 300 mm a plachtou o celkové světlé výšce mezi ložnou plochou a plachtou nejméně 1300 mm. </w:t>
      </w:r>
    </w:p>
    <w:p w:rsidR="001D728C" w:rsidRDefault="001D728C" w:rsidP="001D728C">
      <w:pPr>
        <w:pStyle w:val="walnut-Odstavec2"/>
      </w:pPr>
      <w:r>
        <w:t xml:space="preserve">Rám podvozku PN  je vyroben z žárově zinkované oceli. Podlaha PN je z voděodolného protiskluzového materiálu. </w:t>
      </w:r>
    </w:p>
    <w:p w:rsidR="001D728C" w:rsidRDefault="001D728C" w:rsidP="001D728C">
      <w:pPr>
        <w:pStyle w:val="walnut-Odstavec2"/>
      </w:pPr>
      <w:r>
        <w:t xml:space="preserve">Pro barevnou úpravu PN je použita plachta v jasně červené barvě s vodorovným pruhem v bílé barvě. Bílý vodorovný pruh má na výšku nejméně 200 mm a nejvíce 350 mm a je umístěn po obou bocích PN. </w:t>
      </w:r>
    </w:p>
    <w:p w:rsidR="001D728C" w:rsidRDefault="004E0E39" w:rsidP="004E0E39">
      <w:pPr>
        <w:pStyle w:val="walnut-Odstavec1"/>
      </w:pPr>
      <w:r>
        <w:t>Ostatní</w:t>
      </w:r>
    </w:p>
    <w:p w:rsidR="004E0E39" w:rsidRDefault="004E0E39" w:rsidP="004E0E39">
      <w:pPr>
        <w:pStyle w:val="walnut-Odstavec2"/>
      </w:pPr>
      <w:r>
        <w:t xml:space="preserve">Pro výrobu DA a PN se používá pouze nový, dosud nepoužitý podvozek, který není starší 24 měsíců a pro účelovou nástavbu pouze nové a originální součásti. </w:t>
      </w:r>
    </w:p>
    <w:p w:rsidR="004E0E39" w:rsidRDefault="004E0E39" w:rsidP="004E0E39">
      <w:pPr>
        <w:pStyle w:val="walnut-Odstavec2"/>
      </w:pPr>
      <w:r>
        <w:t xml:space="preserve">Technická životnost DA a PN je nejméně 16 leta to při běžném provozu u jednotky požární ochrany s ročním kilometrovým průběhem do 10 000 km. Po celou tuto dobu je DA a PN plně funkční. </w:t>
      </w:r>
    </w:p>
    <w:p w:rsidR="004E0E39" w:rsidRPr="009A5324" w:rsidRDefault="004E0E39" w:rsidP="004E0E39">
      <w:pPr>
        <w:pStyle w:val="walnut-Odstavec2"/>
      </w:pPr>
      <w:r>
        <w:t xml:space="preserve">Pokud jsou v těchto technických podmínkách uvedeny odkazy na jednotlivá obchodní jména, zvláštní označení podniků, zvláštní označení výrobků, výkonů nebo obchodních materiálů, které platí pro určitý podnik nebo organizační jednotku za příznačné, patenty a užitné vzory, </w:t>
      </w:r>
      <w:r>
        <w:lastRenderedPageBreak/>
        <w:t xml:space="preserve">umožňuje zadavatel použití i jiných technických a kvalitativně obdobných řešení. Variantní řešení se nepřipouští. </w:t>
      </w:r>
      <w:bookmarkStart w:id="0" w:name="_GoBack"/>
      <w:bookmarkEnd w:id="0"/>
    </w:p>
    <w:sectPr w:rsidR="004E0E39" w:rsidRPr="009A5324" w:rsidSect="00C17969">
      <w:headerReference w:type="default" r:id="rId8"/>
      <w:pgSz w:w="11906" w:h="16838"/>
      <w:pgMar w:top="1417" w:right="1417" w:bottom="1417" w:left="1417" w:header="708" w:footer="708" w:gutter="0"/>
      <w:cols w:space="708"/>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F30" w:rsidRDefault="00661F30" w:rsidP="00A65DD1">
      <w:pPr>
        <w:spacing w:after="0" w:line="240" w:lineRule="auto"/>
      </w:pPr>
      <w:r>
        <w:separator/>
      </w:r>
    </w:p>
  </w:endnote>
  <w:endnote w:type="continuationSeparator" w:id="0">
    <w:p w:rsidR="00661F30" w:rsidRDefault="00661F30" w:rsidP="00A65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itillium Web">
    <w:altName w:val="Courier New"/>
    <w:charset w:val="EE"/>
    <w:family w:val="auto"/>
    <w:pitch w:val="variable"/>
    <w:sig w:usb0="00000001" w:usb1="00000001" w:usb2="00000000" w:usb3="00000000" w:csb0="00000093"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F30" w:rsidRDefault="00661F30" w:rsidP="00A65DD1">
      <w:pPr>
        <w:spacing w:after="0" w:line="240" w:lineRule="auto"/>
      </w:pPr>
      <w:r>
        <w:separator/>
      </w:r>
    </w:p>
  </w:footnote>
  <w:footnote w:type="continuationSeparator" w:id="0">
    <w:p w:rsidR="00661F30" w:rsidRDefault="00661F30" w:rsidP="00A65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70" w:rsidRPr="003C6E70" w:rsidRDefault="003C6E70" w:rsidP="003C6E70">
    <w:pPr>
      <w:pStyle w:val="walnut-Nadpis1-textpod"/>
      <w:rPr>
        <w:kern w:val="0"/>
      </w:rPr>
    </w:pPr>
    <w:r>
      <w:rPr>
        <w:noProof/>
        <w:kern w:val="0"/>
        <w:lang w:eastAsia="cs-CZ" w:bidi="ar-SA"/>
      </w:rPr>
      <w:drawing>
        <wp:inline distT="0" distB="0" distL="0" distR="0">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AED9FC"/>
    <w:lvl w:ilvl="0">
      <w:start w:val="1"/>
      <w:numFmt w:val="decimal"/>
      <w:lvlText w:val="%1."/>
      <w:lvlJc w:val="left"/>
      <w:pPr>
        <w:tabs>
          <w:tab w:val="num" w:pos="1492"/>
        </w:tabs>
        <w:ind w:left="1492" w:hanging="360"/>
      </w:pPr>
    </w:lvl>
  </w:abstractNum>
  <w:abstractNum w:abstractNumId="1">
    <w:nsid w:val="FFFFFF7D"/>
    <w:multiLevelType w:val="singleLevel"/>
    <w:tmpl w:val="8390CD98"/>
    <w:lvl w:ilvl="0">
      <w:start w:val="1"/>
      <w:numFmt w:val="decimal"/>
      <w:lvlText w:val="%1."/>
      <w:lvlJc w:val="left"/>
      <w:pPr>
        <w:tabs>
          <w:tab w:val="num" w:pos="1209"/>
        </w:tabs>
        <w:ind w:left="1209" w:hanging="360"/>
      </w:pPr>
    </w:lvl>
  </w:abstractNum>
  <w:abstractNum w:abstractNumId="2">
    <w:nsid w:val="FFFFFF7E"/>
    <w:multiLevelType w:val="singleLevel"/>
    <w:tmpl w:val="A7587630"/>
    <w:lvl w:ilvl="0">
      <w:start w:val="1"/>
      <w:numFmt w:val="decimal"/>
      <w:lvlText w:val="%1."/>
      <w:lvlJc w:val="left"/>
      <w:pPr>
        <w:tabs>
          <w:tab w:val="num" w:pos="926"/>
        </w:tabs>
        <w:ind w:left="926" w:hanging="360"/>
      </w:pPr>
    </w:lvl>
  </w:abstractNum>
  <w:abstractNum w:abstractNumId="3">
    <w:nsid w:val="FFFFFF7F"/>
    <w:multiLevelType w:val="singleLevel"/>
    <w:tmpl w:val="CFC0968A"/>
    <w:lvl w:ilvl="0">
      <w:start w:val="1"/>
      <w:numFmt w:val="decimal"/>
      <w:lvlText w:val="%1."/>
      <w:lvlJc w:val="left"/>
      <w:pPr>
        <w:tabs>
          <w:tab w:val="num" w:pos="643"/>
        </w:tabs>
        <w:ind w:left="643" w:hanging="360"/>
      </w:pPr>
    </w:lvl>
  </w:abstractNum>
  <w:abstractNum w:abstractNumId="4">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BC034C"/>
    <w:lvl w:ilvl="0">
      <w:start w:val="1"/>
      <w:numFmt w:val="decimal"/>
      <w:lvlText w:val="%1."/>
      <w:lvlJc w:val="left"/>
      <w:pPr>
        <w:tabs>
          <w:tab w:val="num" w:pos="360"/>
        </w:tabs>
        <w:ind w:left="360" w:hanging="360"/>
      </w:pPr>
    </w:lvl>
  </w:abstractNum>
  <w:abstractNum w:abstractNumId="9">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19">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12"/>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9"/>
  </w:num>
  <w:num w:numId="35">
    <w:abstractNumId w:val="15"/>
  </w:num>
  <w:num w:numId="36">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4"/>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371C23"/>
    <w:rsid w:val="000158D3"/>
    <w:rsid w:val="00022ECE"/>
    <w:rsid w:val="00030338"/>
    <w:rsid w:val="00047819"/>
    <w:rsid w:val="00073B63"/>
    <w:rsid w:val="000861CA"/>
    <w:rsid w:val="000E7C52"/>
    <w:rsid w:val="000F08CA"/>
    <w:rsid w:val="0010574F"/>
    <w:rsid w:val="0010790E"/>
    <w:rsid w:val="0011390B"/>
    <w:rsid w:val="0012016E"/>
    <w:rsid w:val="00126C58"/>
    <w:rsid w:val="001304F0"/>
    <w:rsid w:val="00133D23"/>
    <w:rsid w:val="00165F86"/>
    <w:rsid w:val="00171B08"/>
    <w:rsid w:val="001B4625"/>
    <w:rsid w:val="001D728C"/>
    <w:rsid w:val="001F5E6B"/>
    <w:rsid w:val="002344CA"/>
    <w:rsid w:val="002909A9"/>
    <w:rsid w:val="002A7C61"/>
    <w:rsid w:val="002A7E8F"/>
    <w:rsid w:val="002C21B3"/>
    <w:rsid w:val="002D64D2"/>
    <w:rsid w:val="002E1C2C"/>
    <w:rsid w:val="00342F0E"/>
    <w:rsid w:val="00361FB6"/>
    <w:rsid w:val="003665EA"/>
    <w:rsid w:val="003719A3"/>
    <w:rsid w:val="00371C23"/>
    <w:rsid w:val="0037736F"/>
    <w:rsid w:val="003A5C23"/>
    <w:rsid w:val="003C6E70"/>
    <w:rsid w:val="003D13B5"/>
    <w:rsid w:val="003F1593"/>
    <w:rsid w:val="003F3919"/>
    <w:rsid w:val="00402838"/>
    <w:rsid w:val="0042453B"/>
    <w:rsid w:val="00455922"/>
    <w:rsid w:val="00472CAD"/>
    <w:rsid w:val="00477C4D"/>
    <w:rsid w:val="004B1270"/>
    <w:rsid w:val="004B6652"/>
    <w:rsid w:val="004D2A46"/>
    <w:rsid w:val="004D43D0"/>
    <w:rsid w:val="004E0E39"/>
    <w:rsid w:val="004E42E5"/>
    <w:rsid w:val="00500D68"/>
    <w:rsid w:val="0050690D"/>
    <w:rsid w:val="00514ACE"/>
    <w:rsid w:val="00523A44"/>
    <w:rsid w:val="00524FD3"/>
    <w:rsid w:val="00531E20"/>
    <w:rsid w:val="0053602D"/>
    <w:rsid w:val="005400B5"/>
    <w:rsid w:val="00565539"/>
    <w:rsid w:val="00576AB1"/>
    <w:rsid w:val="005845B1"/>
    <w:rsid w:val="005867A9"/>
    <w:rsid w:val="005A25D0"/>
    <w:rsid w:val="005B64BB"/>
    <w:rsid w:val="005B7C4D"/>
    <w:rsid w:val="005C0E79"/>
    <w:rsid w:val="005C41FA"/>
    <w:rsid w:val="006417FF"/>
    <w:rsid w:val="00661F30"/>
    <w:rsid w:val="0068639F"/>
    <w:rsid w:val="006B1282"/>
    <w:rsid w:val="006B64AC"/>
    <w:rsid w:val="006D10BC"/>
    <w:rsid w:val="006F395B"/>
    <w:rsid w:val="007115BE"/>
    <w:rsid w:val="0071166E"/>
    <w:rsid w:val="007546A3"/>
    <w:rsid w:val="0076039E"/>
    <w:rsid w:val="007710D5"/>
    <w:rsid w:val="00782D8B"/>
    <w:rsid w:val="007931F7"/>
    <w:rsid w:val="007B3EE5"/>
    <w:rsid w:val="007D0927"/>
    <w:rsid w:val="007E735F"/>
    <w:rsid w:val="007F0A50"/>
    <w:rsid w:val="00800BB5"/>
    <w:rsid w:val="008011A6"/>
    <w:rsid w:val="00806220"/>
    <w:rsid w:val="00821680"/>
    <w:rsid w:val="00831CED"/>
    <w:rsid w:val="008474AD"/>
    <w:rsid w:val="00893CFC"/>
    <w:rsid w:val="00896437"/>
    <w:rsid w:val="008B0B84"/>
    <w:rsid w:val="008B3362"/>
    <w:rsid w:val="00901D59"/>
    <w:rsid w:val="00983BF7"/>
    <w:rsid w:val="00995AA0"/>
    <w:rsid w:val="009A5324"/>
    <w:rsid w:val="009C26A9"/>
    <w:rsid w:val="009C37FA"/>
    <w:rsid w:val="009F1AD7"/>
    <w:rsid w:val="009F6EDC"/>
    <w:rsid w:val="00A024F5"/>
    <w:rsid w:val="00A6133B"/>
    <w:rsid w:val="00A6261D"/>
    <w:rsid w:val="00A65DD1"/>
    <w:rsid w:val="00A92F97"/>
    <w:rsid w:val="00AC0FA9"/>
    <w:rsid w:val="00AD07B9"/>
    <w:rsid w:val="00B05452"/>
    <w:rsid w:val="00B12525"/>
    <w:rsid w:val="00BA52F0"/>
    <w:rsid w:val="00BC7EB9"/>
    <w:rsid w:val="00BD7EE8"/>
    <w:rsid w:val="00BF01D8"/>
    <w:rsid w:val="00C00641"/>
    <w:rsid w:val="00C1557E"/>
    <w:rsid w:val="00C17969"/>
    <w:rsid w:val="00C20562"/>
    <w:rsid w:val="00C420D2"/>
    <w:rsid w:val="00C52BDA"/>
    <w:rsid w:val="00CC3728"/>
    <w:rsid w:val="00CE1E1E"/>
    <w:rsid w:val="00CF24FA"/>
    <w:rsid w:val="00D023FF"/>
    <w:rsid w:val="00D11A9E"/>
    <w:rsid w:val="00D15764"/>
    <w:rsid w:val="00D360FD"/>
    <w:rsid w:val="00D511A9"/>
    <w:rsid w:val="00D51DF4"/>
    <w:rsid w:val="00D52305"/>
    <w:rsid w:val="00D55096"/>
    <w:rsid w:val="00DB4574"/>
    <w:rsid w:val="00DC0224"/>
    <w:rsid w:val="00DC3B7D"/>
    <w:rsid w:val="00DF6CE8"/>
    <w:rsid w:val="00E038DA"/>
    <w:rsid w:val="00E2758A"/>
    <w:rsid w:val="00E41A19"/>
    <w:rsid w:val="00E47309"/>
    <w:rsid w:val="00E55920"/>
    <w:rsid w:val="00E75475"/>
    <w:rsid w:val="00E77E6C"/>
    <w:rsid w:val="00EB4C76"/>
    <w:rsid w:val="00EC24A3"/>
    <w:rsid w:val="00F006FB"/>
    <w:rsid w:val="00F46E95"/>
    <w:rsid w:val="00F67D97"/>
    <w:rsid w:val="00F94E54"/>
    <w:rsid w:val="00F966B5"/>
    <w:rsid w:val="00FA1265"/>
    <w:rsid w:val="00FA33A6"/>
    <w:rsid w:val="00FA49C5"/>
    <w:rsid w:val="00FB7C38"/>
    <w:rsid w:val="00FD60E9"/>
    <w:rsid w:val="00FF62C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rsid w:val="00C17969"/>
  </w:style>
  <w:style w:type="character" w:customStyle="1" w:styleId="ZhlavChar">
    <w:name w:val="Záhlaví Char"/>
    <w:basedOn w:val="DefaultParagraphFont1"/>
    <w:rsid w:val="00C17969"/>
  </w:style>
  <w:style w:type="character" w:customStyle="1" w:styleId="ZpatChar">
    <w:name w:val="Zápatí Char"/>
    <w:basedOn w:val="DefaultParagraphFont1"/>
    <w:rsid w:val="00C17969"/>
  </w:style>
  <w:style w:type="character" w:customStyle="1" w:styleId="TextbublinyChar">
    <w:name w:val="Text bubliny Char"/>
    <w:rsid w:val="00C17969"/>
    <w:rPr>
      <w:rFonts w:ascii="Tahoma" w:hAnsi="Tahoma" w:cs="Tahoma"/>
      <w:sz w:val="16"/>
      <w:szCs w:val="16"/>
    </w:rPr>
  </w:style>
  <w:style w:type="character" w:customStyle="1" w:styleId="ListLabel1">
    <w:name w:val="ListLabel 1"/>
    <w:rsid w:val="00C17969"/>
    <w:rPr>
      <w:rFonts w:cs="Times New Roman"/>
      <w:sz w:val="22"/>
    </w:rPr>
  </w:style>
  <w:style w:type="character" w:customStyle="1" w:styleId="ListLabel2">
    <w:name w:val="ListLabel 2"/>
    <w:rsid w:val="00C17969"/>
    <w:rPr>
      <w:rFonts w:cs="Calibri"/>
    </w:rPr>
  </w:style>
  <w:style w:type="character" w:customStyle="1" w:styleId="ListLabel3">
    <w:name w:val="ListLabel 3"/>
    <w:rsid w:val="00C17969"/>
    <w:rPr>
      <w:rFonts w:cs="Courier New"/>
    </w:rPr>
  </w:style>
  <w:style w:type="character" w:customStyle="1" w:styleId="ListLabel4">
    <w:name w:val="ListLabel 4"/>
    <w:rsid w:val="00C17969"/>
    <w:rPr>
      <w:b/>
    </w:rPr>
  </w:style>
  <w:style w:type="character" w:customStyle="1" w:styleId="ListLabel5">
    <w:name w:val="ListLabel 5"/>
    <w:rsid w:val="00C17969"/>
    <w:rPr>
      <w:rFonts w:cs="Calibri"/>
      <w:b/>
    </w:rPr>
  </w:style>
  <w:style w:type="paragraph" w:customStyle="1" w:styleId="Nadpis">
    <w:name w:val="Nadpis"/>
    <w:basedOn w:val="Normln"/>
    <w:next w:val="Normln"/>
    <w:rsid w:val="00C17969"/>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rsid w:val="00C17969"/>
    <w:pPr>
      <w:suppressLineNumbers/>
      <w:tabs>
        <w:tab w:val="center" w:pos="4536"/>
        <w:tab w:val="right" w:pos="9072"/>
      </w:tabs>
      <w:spacing w:after="0" w:line="100" w:lineRule="atLeast"/>
    </w:pPr>
  </w:style>
  <w:style w:type="paragraph" w:styleId="Zpat">
    <w:name w:val="footer"/>
    <w:basedOn w:val="Normln"/>
    <w:rsid w:val="00C17969"/>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rsid w:val="00C17969"/>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rsid w:val="00C17969"/>
    <w:pPr>
      <w:suppressAutoHyphens/>
      <w:spacing w:line="100" w:lineRule="atLeast"/>
    </w:pPr>
    <w:rPr>
      <w:rFonts w:ascii="Calibri" w:eastAsia="SimSun" w:hAnsi="Calibri" w:cs="Calibri"/>
      <w:kern w:val="1"/>
      <w:sz w:val="22"/>
      <w:szCs w:val="22"/>
      <w:lang w:eastAsia="ar-SA"/>
    </w:rPr>
  </w:style>
  <w:style w:type="paragraph" w:styleId="Odstavecseseznamem">
    <w:name w:val="List Paragraph"/>
    <w:basedOn w:val="Normln"/>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Ind w:w="0" w:type="dxa"/>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Ind w:w="0" w:type="dxa"/>
      <w:tblCellMar>
        <w:top w:w="0" w:type="dxa"/>
        <w:left w:w="108" w:type="dxa"/>
        <w:bottom w:w="0" w:type="dxa"/>
        <w:right w:w="108" w:type="dxa"/>
      </w:tblCellMar>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blStyleRowBandSize w:val="1"/>
      <w:tblInd w:w="0" w:type="dxa"/>
      <w:tblCellMar>
        <w:top w:w="0" w:type="dxa"/>
        <w:left w:w="108" w:type="dxa"/>
        <w:bottom w:w="0" w:type="dxa"/>
        <w:right w:w="108" w:type="dxa"/>
      </w:tblCellMar>
    </w:tblPr>
    <w:tcPr>
      <w:shd w:val="clear" w:color="auto" w:fill="F0F4FA"/>
      <w:vAlign w:val="center"/>
    </w:tc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paragraph" w:styleId="Textbubliny">
    <w:name w:val="Balloon Text"/>
    <w:basedOn w:val="Normln"/>
    <w:link w:val="TextbublinyChar1"/>
    <w:uiPriority w:val="99"/>
    <w:semiHidden/>
    <w:unhideWhenUsed/>
    <w:rsid w:val="00CE1E1E"/>
    <w:pPr>
      <w:spacing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semiHidden/>
    <w:rsid w:val="00CE1E1E"/>
    <w:rPr>
      <w:rFonts w:ascii="Tahoma" w:eastAsia="SimSun"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C8D7-EDAC-4D97-AABB-3E9BFF63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1290</Words>
  <Characters>7617</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miroslav.kubin88@email.cz</cp:lastModifiedBy>
  <cp:revision>21</cp:revision>
  <cp:lastPrinted>1899-12-31T23:00:00Z</cp:lastPrinted>
  <dcterms:created xsi:type="dcterms:W3CDTF">2015-11-04T15:20:00Z</dcterms:created>
  <dcterms:modified xsi:type="dcterms:W3CDTF">2016-08-31T11:28:00Z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