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07" w:rsidRDefault="00D82F07" w:rsidP="00D82F07">
      <w:pPr>
        <w:spacing w:before="120" w:after="360"/>
        <w:jc w:val="center"/>
        <w:rPr>
          <w:rFonts w:cs="Arial"/>
          <w:b/>
          <w:sz w:val="24"/>
        </w:rPr>
      </w:pPr>
      <w:r w:rsidRPr="00D82F07">
        <w:rPr>
          <w:rFonts w:cs="Arial"/>
          <w:b/>
          <w:sz w:val="24"/>
        </w:rPr>
        <w:t>Technická specifikace</w:t>
      </w:r>
    </w:p>
    <w:p w:rsidR="00D82F07" w:rsidRPr="00D82F07" w:rsidRDefault="00D82F07" w:rsidP="00D82F07">
      <w:pPr>
        <w:spacing w:before="120" w:after="360"/>
        <w:jc w:val="center"/>
        <w:rPr>
          <w:rFonts w:cs="Arial"/>
          <w:b/>
          <w:sz w:val="24"/>
        </w:rPr>
      </w:pPr>
      <w:r w:rsidRPr="00D82F07">
        <w:rPr>
          <w:rFonts w:cs="Arial"/>
          <w:b/>
          <w:sz w:val="24"/>
        </w:rPr>
        <w:t>„Dodávka komunální techniky pro projekt OPŽP – Omezení prašnosti z plošných zdrojů ve městě Buštěhrad“</w:t>
      </w:r>
      <w:r w:rsidRPr="00D82F07">
        <w:rPr>
          <w:rFonts w:cs="Arial"/>
          <w:b/>
          <w:sz w:val="24"/>
        </w:rPr>
        <w:br/>
      </w:r>
    </w:p>
    <w:p w:rsidR="00D82F07" w:rsidRDefault="00D82F07" w:rsidP="00D82F07">
      <w:pPr>
        <w:rPr>
          <w:rFonts w:ascii="Tahoma" w:hAnsi="Tahoma" w:cs="Tahoma"/>
          <w:color w:val="0000FF"/>
          <w:sz w:val="36"/>
        </w:rPr>
      </w:pPr>
    </w:p>
    <w:p w:rsidR="00C373C9" w:rsidRPr="00C373C9" w:rsidRDefault="00C373C9" w:rsidP="00C373C9">
      <w:pPr>
        <w:tabs>
          <w:tab w:val="left" w:pos="851"/>
        </w:tabs>
        <w:rPr>
          <w:rFonts w:cs="Arial"/>
          <w:szCs w:val="20"/>
          <w:lang w:eastAsia="de-DE"/>
        </w:rPr>
      </w:pPr>
      <w:r w:rsidRPr="00C373C9">
        <w:rPr>
          <w:rFonts w:cs="Arial"/>
          <w:szCs w:val="20"/>
          <w:lang w:eastAsia="de-DE"/>
        </w:rPr>
        <w:t>Podvozek</w:t>
      </w:r>
    </w:p>
    <w:p w:rsidR="00C373C9" w:rsidRPr="00C373C9" w:rsidRDefault="00C373C9" w:rsidP="00C373C9">
      <w:pPr>
        <w:tabs>
          <w:tab w:val="left" w:pos="851"/>
        </w:tabs>
        <w:rPr>
          <w:rFonts w:cs="Arial"/>
          <w:szCs w:val="20"/>
          <w:lang w:eastAsia="de-DE"/>
        </w:rPr>
      </w:pPr>
      <w:r w:rsidRPr="00C373C9">
        <w:rPr>
          <w:rFonts w:cs="Arial"/>
          <w:szCs w:val="20"/>
          <w:lang w:eastAsia="de-DE"/>
        </w:rPr>
        <w:tab/>
      </w: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szCs w:val="20"/>
        </w:rPr>
        <w:t xml:space="preserve">rozměry vozidla 4.100-4.645 x 1.620 x </w:t>
      </w:r>
      <w:smartTag w:uri="urn:schemas-microsoft-com:office:smarttags" w:element="metricconverter">
        <w:smartTagPr>
          <w:attr w:name="ProductID" w:val="2.190 mm"/>
        </w:smartTagPr>
        <w:r w:rsidRPr="00C373C9">
          <w:rPr>
            <w:rFonts w:cs="Arial"/>
            <w:szCs w:val="20"/>
          </w:rPr>
          <w:t>2.190 mm</w:t>
        </w:r>
      </w:smartTag>
      <w:r w:rsidRPr="00C373C9">
        <w:rPr>
          <w:rFonts w:cs="Arial"/>
          <w:szCs w:val="20"/>
        </w:rPr>
        <w:t xml:space="preserve"> - torzní rám vyrobený z ocelových profilů -  nezávislé zavěšení předních kol s vinutými pružinami - tuhá zadní náprava se stabilizátorem a s progresivním odpružením listovými pružinami - hydraulické teleskopické tlumiče vpředu a vzadu - zadní náprava s rozvodovkou, </w:t>
      </w:r>
    </w:p>
    <w:p w:rsidR="00D82F07" w:rsidRPr="00C373C9" w:rsidRDefault="00D82F07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 xml:space="preserve">Motor </w:t>
      </w:r>
    </w:p>
    <w:p w:rsidR="00C373C9" w:rsidRDefault="00C373C9" w:rsidP="00C373C9">
      <w:pPr>
        <w:rPr>
          <w:rFonts w:cs="Arial"/>
          <w:szCs w:val="20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bCs/>
          <w:szCs w:val="20"/>
        </w:rPr>
        <w:t xml:space="preserve"> EURO 5</w:t>
      </w:r>
      <w:r w:rsidRPr="00C373C9">
        <w:rPr>
          <w:rFonts w:cs="Arial"/>
          <w:b/>
          <w:bCs/>
          <w:szCs w:val="20"/>
        </w:rPr>
        <w:t xml:space="preserve"> </w:t>
      </w:r>
      <w:r w:rsidRPr="00C373C9">
        <w:rPr>
          <w:rFonts w:cs="Arial"/>
          <w:szCs w:val="20"/>
        </w:rPr>
        <w:t xml:space="preserve">- vznětový 4- válcový </w:t>
      </w:r>
      <w:proofErr w:type="gramStart"/>
      <w:r w:rsidRPr="00C373C9">
        <w:rPr>
          <w:rFonts w:cs="Arial"/>
          <w:szCs w:val="20"/>
        </w:rPr>
        <w:t>motor  s filtrem</w:t>
      </w:r>
      <w:proofErr w:type="gramEnd"/>
      <w:r w:rsidRPr="00C373C9">
        <w:rPr>
          <w:rFonts w:cs="Arial"/>
          <w:szCs w:val="20"/>
        </w:rPr>
        <w:t xml:space="preserve"> pevných částic v uzavřeném systému, zdvihový objem 2.0-2,5 l, 75-85 kW </w:t>
      </w:r>
    </w:p>
    <w:p w:rsidR="00C373C9" w:rsidRPr="00C373C9" w:rsidRDefault="00C373C9" w:rsidP="00C373C9">
      <w:pPr>
        <w:rPr>
          <w:rFonts w:cs="Arial"/>
          <w:szCs w:val="20"/>
        </w:rPr>
      </w:pPr>
    </w:p>
    <w:p w:rsidR="00C373C9" w:rsidRPr="00C373C9" w:rsidRDefault="00C373C9" w:rsidP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>Převodovka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szCs w:val="20"/>
        </w:rPr>
        <w:t>dvojitě synchronizované ozubené soukolí - 5 převodových stupňů vpřed a 1 vzad, vč. plazivého chodu 10 převodových stupňů vpřed a 2 vzad, - hydraulicky ovládaná jednokotoučová třecí spojka; kotouč spojky s vysoce kvalitním, organickým, třecím obložením</w:t>
      </w:r>
    </w:p>
    <w:p w:rsidR="00C373C9" w:rsidRPr="00C373C9" w:rsidRDefault="00C373C9" w:rsidP="00C373C9">
      <w:pPr>
        <w:rPr>
          <w:rFonts w:cs="Arial"/>
          <w:szCs w:val="20"/>
        </w:rPr>
      </w:pPr>
    </w:p>
    <w:p w:rsidR="00C373C9" w:rsidRPr="00C373C9" w:rsidRDefault="00C373C9" w:rsidP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>Řízení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szCs w:val="20"/>
        </w:rPr>
        <w:t xml:space="preserve">servořízení s oběžnými kuličkami 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>Brzdy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szCs w:val="20"/>
        </w:rPr>
        <w:t xml:space="preserve"> kotoučové brzdy s vnitřním chlazením na všech </w:t>
      </w:r>
      <w:proofErr w:type="gramStart"/>
      <w:r w:rsidRPr="00C373C9">
        <w:rPr>
          <w:rFonts w:cs="Arial"/>
          <w:szCs w:val="20"/>
        </w:rPr>
        <w:t>kolech a 4-kanálový</w:t>
      </w:r>
      <w:proofErr w:type="gramEnd"/>
      <w:r w:rsidRPr="00C373C9">
        <w:rPr>
          <w:rFonts w:cs="Arial"/>
          <w:szCs w:val="20"/>
        </w:rPr>
        <w:t xml:space="preserve"> systém ABS - elektrický ukazatel opotřebení brzdového obložení - ruční parkovací brzda (bubnová brzda) - kontrolka signalizující poruchu brzdového okruhu a stav brzdové kapaliny 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>Hydraulika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rPr>
          <w:rFonts w:cs="Arial"/>
          <w:szCs w:val="20"/>
          <w:lang w:eastAsia="de-DE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proofErr w:type="spellStart"/>
      <w:r w:rsidRPr="00C373C9">
        <w:rPr>
          <w:rFonts w:cs="Arial"/>
          <w:bCs/>
          <w:szCs w:val="20"/>
        </w:rPr>
        <w:t>dvou-tří</w:t>
      </w:r>
      <w:proofErr w:type="spellEnd"/>
      <w:r w:rsidRPr="00C373C9">
        <w:rPr>
          <w:rFonts w:cs="Arial"/>
          <w:bCs/>
          <w:szCs w:val="20"/>
        </w:rPr>
        <w:t xml:space="preserve"> okruhová mobilní hydraulika</w:t>
      </w:r>
      <w:r w:rsidRPr="00C373C9">
        <w:rPr>
          <w:rFonts w:cs="Arial"/>
          <w:b/>
          <w:bCs/>
          <w:szCs w:val="20"/>
        </w:rPr>
        <w:t xml:space="preserve"> </w:t>
      </w:r>
      <w:r w:rsidRPr="00C373C9">
        <w:rPr>
          <w:rFonts w:cs="Arial"/>
          <w:szCs w:val="20"/>
        </w:rPr>
        <w:t xml:space="preserve">- pro pohon nástaveb vč. pohonu přední rychloupínací desky - výkon 45(2x45) l/min. Nouzové ruční ovládání pro všechny funkce - chladič oleje a přídavná mřížka na chladiči, nádrž na hydraulický olej se zpětným filtrem, </w:t>
      </w:r>
      <w:proofErr w:type="spellStart"/>
      <w:r w:rsidRPr="00C373C9">
        <w:rPr>
          <w:rFonts w:cs="Arial"/>
          <w:szCs w:val="20"/>
        </w:rPr>
        <w:t>odvzdušněmím</w:t>
      </w:r>
      <w:proofErr w:type="spellEnd"/>
      <w:r w:rsidRPr="00C373C9">
        <w:rPr>
          <w:rFonts w:cs="Arial"/>
          <w:szCs w:val="20"/>
        </w:rPr>
        <w:t xml:space="preserve"> a ukazatelem stavu. 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rPr>
          <w:rFonts w:cs="Arial"/>
          <w:szCs w:val="20"/>
        </w:rPr>
      </w:pPr>
      <w:r w:rsidRPr="00C373C9">
        <w:rPr>
          <w:rFonts w:cs="Arial"/>
          <w:bCs/>
          <w:szCs w:val="20"/>
        </w:rPr>
        <w:t>Elektrické zařízení</w:t>
      </w:r>
      <w:r w:rsidRPr="00C373C9">
        <w:rPr>
          <w:rFonts w:cs="Arial"/>
          <w:b/>
          <w:bCs/>
          <w:szCs w:val="20"/>
        </w:rPr>
        <w:t xml:space="preserve"> </w:t>
      </w:r>
    </w:p>
    <w:p w:rsidR="00C373C9" w:rsidRPr="00C373C9" w:rsidRDefault="00C373C9" w:rsidP="00C373C9">
      <w:pPr>
        <w:rPr>
          <w:rFonts w:cs="Arial"/>
          <w:szCs w:val="20"/>
        </w:rPr>
      </w:pPr>
    </w:p>
    <w:p w:rsidR="00C373C9" w:rsidRPr="00C373C9" w:rsidRDefault="00C373C9" w:rsidP="00C373C9">
      <w:pPr>
        <w:pStyle w:val="Odstavecseseznamem"/>
        <w:numPr>
          <w:ilvl w:val="0"/>
          <w:numId w:val="10"/>
        </w:numPr>
        <w:rPr>
          <w:rFonts w:cs="Arial"/>
          <w:szCs w:val="20"/>
        </w:rPr>
      </w:pPr>
      <w:r w:rsidRPr="00C373C9">
        <w:rPr>
          <w:rFonts w:cs="Arial"/>
          <w:szCs w:val="20"/>
        </w:rPr>
        <w:t xml:space="preserve">alternátor s integrovaným regulátorem 12 V, </w:t>
      </w:r>
      <w:smartTag w:uri="urn:schemas-microsoft-com:office:smarttags" w:element="metricconverter">
        <w:smartTagPr>
          <w:attr w:name="ProductID" w:val="140 A"/>
        </w:smartTagPr>
        <w:r w:rsidRPr="00C373C9">
          <w:rPr>
            <w:rFonts w:cs="Arial"/>
            <w:szCs w:val="20"/>
          </w:rPr>
          <w:t>140 A</w:t>
        </w:r>
      </w:smartTag>
      <w:r w:rsidRPr="00C373C9">
        <w:rPr>
          <w:rFonts w:cs="Arial"/>
          <w:szCs w:val="20"/>
        </w:rPr>
        <w:t xml:space="preserve"> - startér 12 V, 2,5 kW - vysokokapacitní akumulátor 12 V, 100 AH - světlomety 2 H4 a 2 H7 s regulací sklonu - přední, zadní, boční směrovky a varovná světla - kompaktní zadní světla s mlhovkou a světlomet pro jízdu dozadu - elektronický tachometr s Hallovým snímačem, otáčkoměr, intervalový spínač stěračů, integrované ostřikovače předního skla - kombinovaný spínač na sloupku řízení - osvětlené spínače, vnitřní </w:t>
      </w:r>
      <w:r w:rsidRPr="00C373C9">
        <w:rPr>
          <w:rFonts w:cs="Arial"/>
          <w:szCs w:val="20"/>
        </w:rPr>
        <w:lastRenderedPageBreak/>
        <w:t>osvětlení přes dveřní kontakty - 1počítadlo pracovních hodin (</w:t>
      </w:r>
      <w:proofErr w:type="spellStart"/>
      <w:r w:rsidRPr="00C373C9">
        <w:rPr>
          <w:rFonts w:cs="Arial"/>
          <w:szCs w:val="20"/>
        </w:rPr>
        <w:t>motohodin</w:t>
      </w:r>
      <w:proofErr w:type="spellEnd"/>
      <w:r w:rsidRPr="00C373C9">
        <w:rPr>
          <w:rFonts w:cs="Arial"/>
          <w:szCs w:val="20"/>
        </w:rPr>
        <w:t xml:space="preserve">) a 1 počítadlo pracovních hodin hydrauliky - 13-pólová zásuvka 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>
      <w:pPr>
        <w:rPr>
          <w:rFonts w:cs="Arial"/>
          <w:szCs w:val="20"/>
        </w:rPr>
      </w:pPr>
      <w:r w:rsidRPr="00C373C9">
        <w:rPr>
          <w:rFonts w:cs="Arial"/>
          <w:szCs w:val="20"/>
        </w:rPr>
        <w:t>Zametací nástavba</w:t>
      </w:r>
    </w:p>
    <w:p w:rsidR="00C373C9" w:rsidRPr="00C373C9" w:rsidRDefault="00C373C9">
      <w:pPr>
        <w:rPr>
          <w:rFonts w:cs="Arial"/>
          <w:szCs w:val="20"/>
        </w:rPr>
      </w:pPr>
    </w:p>
    <w:p w:rsidR="00C373C9" w:rsidRPr="00C373C9" w:rsidRDefault="00C373C9" w:rsidP="00C373C9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   </w:t>
      </w:r>
      <w:r w:rsidRPr="00C373C9">
        <w:rPr>
          <w:rFonts w:cs="Arial"/>
          <w:color w:val="000000"/>
          <w:szCs w:val="20"/>
        </w:rPr>
        <w:t xml:space="preserve">Objem zásobníku na </w:t>
      </w:r>
      <w:proofErr w:type="gramStart"/>
      <w:r w:rsidRPr="00C373C9">
        <w:rPr>
          <w:rFonts w:cs="Arial"/>
          <w:color w:val="000000"/>
          <w:szCs w:val="20"/>
        </w:rPr>
        <w:t xml:space="preserve">smetí         </w:t>
      </w:r>
      <w:r w:rsidR="00784054">
        <w:rPr>
          <w:rFonts w:cs="Arial"/>
          <w:color w:val="000000"/>
          <w:szCs w:val="20"/>
        </w:rPr>
        <w:t xml:space="preserve">    </w:t>
      </w:r>
      <w:r w:rsidR="00D77317">
        <w:rPr>
          <w:rFonts w:cs="Arial"/>
          <w:color w:val="000000"/>
          <w:szCs w:val="20"/>
        </w:rPr>
        <w:t>min.</w:t>
      </w:r>
      <w:proofErr w:type="gramEnd"/>
      <w:r w:rsidR="00784054">
        <w:rPr>
          <w:rFonts w:cs="Arial"/>
          <w:color w:val="000000"/>
          <w:szCs w:val="20"/>
        </w:rPr>
        <w:t xml:space="preserve"> </w:t>
      </w:r>
      <w:r w:rsidRPr="00C373C9">
        <w:rPr>
          <w:rFonts w:cs="Arial"/>
          <w:color w:val="000000"/>
          <w:szCs w:val="20"/>
        </w:rPr>
        <w:t xml:space="preserve"> 2 m</w:t>
      </w:r>
      <w:r w:rsidRPr="00C373C9">
        <w:rPr>
          <w:rFonts w:cs="Arial"/>
          <w:color w:val="000000"/>
          <w:szCs w:val="20"/>
          <w:vertAlign w:val="superscript"/>
        </w:rPr>
        <w:t>3</w:t>
      </w:r>
    </w:p>
    <w:p w:rsidR="00C373C9" w:rsidRPr="00C373C9" w:rsidRDefault="00C373C9" w:rsidP="00C373C9">
      <w:pPr>
        <w:rPr>
          <w:rFonts w:cs="Arial"/>
          <w:color w:val="000000"/>
          <w:szCs w:val="20"/>
          <w:vertAlign w:val="superscript"/>
        </w:rPr>
      </w:pPr>
      <w:r>
        <w:rPr>
          <w:rFonts w:cs="Arial"/>
          <w:color w:val="000000"/>
          <w:szCs w:val="20"/>
        </w:rPr>
        <w:t xml:space="preserve">       </w:t>
      </w:r>
      <w:r w:rsidRPr="00C373C9">
        <w:rPr>
          <w:rFonts w:cs="Arial"/>
          <w:color w:val="000000"/>
          <w:szCs w:val="20"/>
        </w:rPr>
        <w:t>Objem vodní nádrže</w:t>
      </w:r>
      <w:r w:rsidRPr="00C373C9">
        <w:rPr>
          <w:rFonts w:cs="Arial"/>
          <w:color w:val="000000"/>
          <w:szCs w:val="20"/>
        </w:rPr>
        <w:tab/>
        <w:t xml:space="preserve">           </w:t>
      </w:r>
      <w:proofErr w:type="gramStart"/>
      <w:r w:rsidR="00D77317">
        <w:rPr>
          <w:rFonts w:cs="Arial"/>
          <w:color w:val="000000"/>
          <w:szCs w:val="20"/>
        </w:rPr>
        <w:t>min</w:t>
      </w:r>
      <w:r w:rsidRPr="00C373C9">
        <w:rPr>
          <w:rFonts w:cs="Arial"/>
          <w:color w:val="000000"/>
          <w:szCs w:val="20"/>
        </w:rPr>
        <w:t xml:space="preserve">  0,370</w:t>
      </w:r>
      <w:proofErr w:type="gramEnd"/>
      <w:r w:rsidRPr="00C373C9">
        <w:rPr>
          <w:rFonts w:cs="Arial"/>
          <w:color w:val="000000"/>
          <w:szCs w:val="20"/>
        </w:rPr>
        <w:t xml:space="preserve"> m</w:t>
      </w:r>
      <w:r w:rsidRPr="00C373C9">
        <w:rPr>
          <w:rFonts w:cs="Arial"/>
          <w:color w:val="000000"/>
          <w:szCs w:val="20"/>
          <w:vertAlign w:val="superscript"/>
        </w:rPr>
        <w:t>3</w:t>
      </w:r>
    </w:p>
    <w:p w:rsidR="00C373C9" w:rsidRPr="00C373C9" w:rsidRDefault="00C373C9" w:rsidP="00C373C9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     </w:t>
      </w:r>
      <w:r w:rsidRPr="00C373C9">
        <w:rPr>
          <w:rFonts w:cs="Arial"/>
          <w:color w:val="000000"/>
          <w:szCs w:val="20"/>
        </w:rPr>
        <w:t xml:space="preserve">Pracovní </w:t>
      </w:r>
      <w:proofErr w:type="gramStart"/>
      <w:r w:rsidRPr="00C373C9">
        <w:rPr>
          <w:rFonts w:cs="Arial"/>
          <w:color w:val="000000"/>
          <w:szCs w:val="20"/>
        </w:rPr>
        <w:t xml:space="preserve">záběr                       </w:t>
      </w:r>
      <w:r w:rsidR="00784054">
        <w:rPr>
          <w:rFonts w:cs="Arial"/>
          <w:color w:val="000000"/>
          <w:szCs w:val="20"/>
        </w:rPr>
        <w:t xml:space="preserve">        </w:t>
      </w:r>
      <w:r w:rsidR="00D77317">
        <w:rPr>
          <w:rFonts w:cs="Arial"/>
          <w:color w:val="000000"/>
          <w:szCs w:val="20"/>
        </w:rPr>
        <w:t>min</w:t>
      </w:r>
      <w:proofErr w:type="gramEnd"/>
      <w:r w:rsidR="00784054">
        <w:rPr>
          <w:rFonts w:cs="Arial"/>
          <w:color w:val="000000"/>
          <w:szCs w:val="20"/>
        </w:rPr>
        <w:t xml:space="preserve">  </w:t>
      </w:r>
      <w:r w:rsidRPr="00C373C9">
        <w:rPr>
          <w:rFonts w:cs="Arial"/>
          <w:color w:val="000000"/>
          <w:szCs w:val="20"/>
        </w:rPr>
        <w:t xml:space="preserve">až 2 600 mm (včetně předního přídavného kartáče)                 </w:t>
      </w:r>
    </w:p>
    <w:p w:rsidR="00F66EE1" w:rsidRPr="007F6A55" w:rsidRDefault="00F66EE1" w:rsidP="00F66EE1">
      <w:pPr>
        <w:rPr>
          <w:bCs/>
        </w:rPr>
      </w:pPr>
      <w:r>
        <w:rPr>
          <w:rFonts w:cs="Arial"/>
          <w:szCs w:val="20"/>
        </w:rPr>
        <w:t xml:space="preserve">       </w:t>
      </w:r>
      <w:r>
        <w:rPr>
          <w:bCs/>
        </w:rPr>
        <w:t>Norma pro zachycování prachových částic PM 10</w:t>
      </w:r>
    </w:p>
    <w:p w:rsidR="00C373C9" w:rsidRDefault="00C373C9">
      <w:pPr>
        <w:rPr>
          <w:rFonts w:cs="Arial"/>
          <w:szCs w:val="20"/>
        </w:rPr>
      </w:pPr>
      <w:bookmarkStart w:id="0" w:name="_GoBack"/>
      <w:bookmarkEnd w:id="0"/>
    </w:p>
    <w:p w:rsidR="00784054" w:rsidRDefault="00784054">
      <w:pPr>
        <w:rPr>
          <w:rFonts w:cs="Arial"/>
          <w:szCs w:val="20"/>
        </w:rPr>
      </w:pPr>
    </w:p>
    <w:p w:rsidR="00784054" w:rsidRPr="00784054" w:rsidRDefault="00784054" w:rsidP="00784054">
      <w:pPr>
        <w:spacing w:before="120"/>
        <w:jc w:val="center"/>
        <w:rPr>
          <w:rFonts w:cs="Arial"/>
          <w:b/>
          <w:szCs w:val="20"/>
          <w:u w:val="single"/>
        </w:rPr>
      </w:pPr>
      <w:r w:rsidRPr="00784054">
        <w:rPr>
          <w:rFonts w:cs="Arial"/>
          <w:b/>
          <w:szCs w:val="20"/>
          <w:u w:val="single"/>
        </w:rPr>
        <w:t>Závěrečné ustanovené k technické specifikaci</w:t>
      </w:r>
    </w:p>
    <w:p w:rsidR="00784054" w:rsidRPr="00784054" w:rsidRDefault="00784054" w:rsidP="00784054">
      <w:pPr>
        <w:spacing w:before="120"/>
        <w:rPr>
          <w:rFonts w:cs="Arial"/>
          <w:b/>
          <w:szCs w:val="20"/>
          <w:u w:val="single"/>
        </w:rPr>
      </w:pPr>
    </w:p>
    <w:p w:rsidR="00784054" w:rsidRPr="00784054" w:rsidRDefault="00784054" w:rsidP="00784054">
      <w:pPr>
        <w:spacing w:line="280" w:lineRule="atLeast"/>
        <w:jc w:val="both"/>
        <w:rPr>
          <w:rFonts w:cs="Arial"/>
          <w:bCs/>
          <w:szCs w:val="20"/>
        </w:rPr>
      </w:pPr>
      <w:r w:rsidRPr="00784054">
        <w:rPr>
          <w:rFonts w:cs="Arial"/>
          <w:szCs w:val="20"/>
        </w:rPr>
        <w:t>Nesplnění jakékoliv z výše uvedených podmínek je důvodem k vyřazení nabídky z hodnocení.</w:t>
      </w:r>
    </w:p>
    <w:p w:rsidR="00784054" w:rsidRPr="00784054" w:rsidRDefault="00784054" w:rsidP="00784054">
      <w:pPr>
        <w:spacing w:line="280" w:lineRule="atLeast"/>
        <w:jc w:val="both"/>
        <w:rPr>
          <w:rFonts w:cs="Arial"/>
          <w:szCs w:val="20"/>
        </w:rPr>
      </w:pPr>
      <w:r w:rsidRPr="00784054">
        <w:rPr>
          <w:rFonts w:cs="Arial"/>
          <w:bCs/>
          <w:szCs w:val="20"/>
        </w:rPr>
        <w:t xml:space="preserve">Zadavatel akceptuje dodávku zboží s tolerancí +/- 15 % od výše uvedených technických údajů, které neohrožují provoz a </w:t>
      </w:r>
      <w:r w:rsidRPr="00784054">
        <w:rPr>
          <w:rFonts w:cs="Arial"/>
          <w:szCs w:val="20"/>
        </w:rPr>
        <w:t>pokud touto změnou nebude narušena požadovaná kvalita a jeho funkce. Technické parametry, označené jako minimální (případně maximální) musí být dodrženy bez možnosti uplatnit toleranci.</w:t>
      </w:r>
    </w:p>
    <w:p w:rsidR="00784054" w:rsidRPr="00C373C9" w:rsidRDefault="00784054">
      <w:pPr>
        <w:rPr>
          <w:rFonts w:cs="Arial"/>
          <w:szCs w:val="20"/>
        </w:rPr>
      </w:pPr>
    </w:p>
    <w:sectPr w:rsidR="00784054" w:rsidRPr="00C373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DF" w:rsidRDefault="000C1ADF" w:rsidP="00FC2458">
      <w:r>
        <w:separator/>
      </w:r>
    </w:p>
  </w:endnote>
  <w:endnote w:type="continuationSeparator" w:id="0">
    <w:p w:rsidR="000C1ADF" w:rsidRDefault="000C1ADF" w:rsidP="00FC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DF" w:rsidRDefault="000C1ADF" w:rsidP="00FC2458">
      <w:r>
        <w:separator/>
      </w:r>
    </w:p>
  </w:footnote>
  <w:footnote w:type="continuationSeparator" w:id="0">
    <w:p w:rsidR="000C1ADF" w:rsidRDefault="000C1ADF" w:rsidP="00FC2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DF" w:rsidRDefault="000C1ADF">
    <w:pPr>
      <w:pStyle w:val="Zhlav"/>
    </w:pPr>
    <w:r>
      <w:rPr>
        <w:rFonts w:ascii="Arial Narrow" w:hAnsi="Arial Narrow" w:cs="Arial"/>
        <w:noProof/>
      </w:rPr>
      <w:drawing>
        <wp:inline distT="0" distB="0" distL="0" distR="0" wp14:anchorId="7E43B062" wp14:editId="05D28FEC">
          <wp:extent cx="5759450" cy="927735"/>
          <wp:effectExtent l="0" t="0" r="0" b="5715"/>
          <wp:docPr id="5" name="Obrázek 5" descr="9939-banner_opzp_fs_erdf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939-banner_opzp_fs_erdf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1ADF" w:rsidRDefault="000C1ADF">
    <w:pPr>
      <w:pStyle w:val="Zhlav"/>
    </w:pPr>
    <w:r>
      <w:t>Priloha_3_TS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A2BDB"/>
    <w:multiLevelType w:val="hybridMultilevel"/>
    <w:tmpl w:val="213AF45A"/>
    <w:lvl w:ilvl="0" w:tplc="A0D44E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880103B"/>
    <w:multiLevelType w:val="multilevel"/>
    <w:tmpl w:val="02FA8C6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B2"/>
    <w:rsid w:val="000C1ADF"/>
    <w:rsid w:val="005F08A7"/>
    <w:rsid w:val="00784054"/>
    <w:rsid w:val="008067B2"/>
    <w:rsid w:val="00C373C9"/>
    <w:rsid w:val="00D77317"/>
    <w:rsid w:val="00D82F07"/>
    <w:rsid w:val="00E27DE1"/>
    <w:rsid w:val="00EB698F"/>
    <w:rsid w:val="00F66EE1"/>
    <w:rsid w:val="00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0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 w:line="276" w:lineRule="auto"/>
      <w:outlineLvl w:val="0"/>
    </w:pPr>
    <w:rPr>
      <w:rFonts w:eastAsiaTheme="majorEastAsia" w:cstheme="majorBidi"/>
      <w:b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 w:line="276" w:lineRule="auto"/>
      <w:jc w:val="both"/>
      <w:outlineLvl w:val="1"/>
    </w:pPr>
    <w:rPr>
      <w:rFonts w:eastAsiaTheme="majorEastAsia" w:cstheme="majorBidi"/>
      <w:bCs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5F08A7"/>
    <w:pPr>
      <w:numPr>
        <w:ilvl w:val="2"/>
        <w:numId w:val="9"/>
      </w:numPr>
      <w:spacing w:after="120" w:line="276" w:lineRule="auto"/>
      <w:jc w:val="both"/>
      <w:outlineLvl w:val="2"/>
    </w:pPr>
    <w:rPr>
      <w:rFonts w:eastAsiaTheme="majorEastAsia" w:cstheme="majorBidi"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table" w:styleId="Mkatabulky">
    <w:name w:val="Table Grid"/>
    <w:basedOn w:val="Normlntabulka"/>
    <w:uiPriority w:val="59"/>
    <w:rsid w:val="00D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2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4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458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45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3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0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08A7"/>
    <w:pPr>
      <w:numPr>
        <w:numId w:val="9"/>
      </w:numPr>
      <w:spacing w:before="240" w:after="120" w:line="276" w:lineRule="auto"/>
      <w:outlineLvl w:val="0"/>
    </w:pPr>
    <w:rPr>
      <w:rFonts w:eastAsiaTheme="majorEastAsia" w:cstheme="majorBidi"/>
      <w:b/>
      <w:bCs/>
      <w:sz w:val="22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8A7"/>
    <w:pPr>
      <w:numPr>
        <w:ilvl w:val="1"/>
        <w:numId w:val="9"/>
      </w:numPr>
      <w:spacing w:after="120" w:line="276" w:lineRule="auto"/>
      <w:jc w:val="both"/>
      <w:outlineLvl w:val="1"/>
    </w:pPr>
    <w:rPr>
      <w:rFonts w:eastAsiaTheme="majorEastAsia" w:cstheme="majorBidi"/>
      <w:bCs/>
      <w:sz w:val="22"/>
      <w:szCs w:val="26"/>
      <w:lang w:eastAsia="en-US"/>
    </w:rPr>
  </w:style>
  <w:style w:type="paragraph" w:styleId="Nadpis3">
    <w:name w:val="heading 3"/>
    <w:basedOn w:val="Normln"/>
    <w:next w:val="Normln"/>
    <w:link w:val="Nadpis3Char"/>
    <w:unhideWhenUsed/>
    <w:qFormat/>
    <w:rsid w:val="005F08A7"/>
    <w:pPr>
      <w:numPr>
        <w:ilvl w:val="2"/>
        <w:numId w:val="9"/>
      </w:numPr>
      <w:spacing w:after="120" w:line="276" w:lineRule="auto"/>
      <w:jc w:val="both"/>
      <w:outlineLvl w:val="2"/>
    </w:pPr>
    <w:rPr>
      <w:rFonts w:eastAsiaTheme="majorEastAsia" w:cstheme="majorBidi"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8A7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8A7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8A7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8A7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8A7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8A7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8A7"/>
    <w:rPr>
      <w:rFonts w:ascii="Arial" w:eastAsiaTheme="majorEastAsia" w:hAnsi="Arial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F08A7"/>
    <w:rPr>
      <w:rFonts w:ascii="Arial" w:eastAsiaTheme="majorEastAsia" w:hAnsi="Arial" w:cstheme="majorBidi"/>
      <w:bCs/>
      <w:szCs w:val="26"/>
    </w:rPr>
  </w:style>
  <w:style w:type="character" w:customStyle="1" w:styleId="Nadpis3Char">
    <w:name w:val="Nadpis 3 Char"/>
    <w:basedOn w:val="Standardnpsmoodstavce"/>
    <w:link w:val="Nadpis3"/>
    <w:rsid w:val="005F08A7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8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8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8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8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8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5F08A7"/>
    <w:pPr>
      <w:spacing w:after="0" w:line="240" w:lineRule="auto"/>
    </w:pPr>
  </w:style>
  <w:style w:type="table" w:styleId="Mkatabulky">
    <w:name w:val="Table Grid"/>
    <w:basedOn w:val="Normlntabulka"/>
    <w:uiPriority w:val="59"/>
    <w:rsid w:val="00D8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C24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4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4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458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45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3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RATIFICO</cp:lastModifiedBy>
  <cp:revision>7</cp:revision>
  <dcterms:created xsi:type="dcterms:W3CDTF">2013-08-26T13:54:00Z</dcterms:created>
  <dcterms:modified xsi:type="dcterms:W3CDTF">2013-09-03T08:34:00Z</dcterms:modified>
</cp:coreProperties>
</file>