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6A0207" w:rsidP="00F21B03">
            <w:r w:rsidRPr="006A0207">
              <w:rPr>
                <w:bCs/>
              </w:rPr>
              <w:t>Oprava místních komunikací v Horní Nové Vsi - Zhotovitel</w:t>
            </w:r>
            <w:bookmarkStart w:id="0" w:name="_GoBack"/>
            <w:bookmarkEnd w:id="0"/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9A3D3B">
            <w:r w:rsidRPr="009530DB">
              <w:t>zadávací řízení 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 xml:space="preserve">,dne  </w:t>
            </w:r>
            <w:r w:rsidRPr="00FA4857">
              <w:rPr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89" w:rsidRDefault="00B43B89" w:rsidP="00A65DD1">
      <w:pPr>
        <w:spacing w:after="0" w:line="240" w:lineRule="auto"/>
      </w:pPr>
      <w:r>
        <w:separator/>
      </w:r>
    </w:p>
  </w:endnote>
  <w:end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89" w:rsidRDefault="00B43B89" w:rsidP="00A65DD1">
      <w:pPr>
        <w:spacing w:after="0" w:line="240" w:lineRule="auto"/>
      </w:pPr>
      <w:r>
        <w:separator/>
      </w:r>
    </w:p>
  </w:footnote>
  <w:foot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A0207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3B89"/>
    <w:rsid w:val="00BA52F0"/>
    <w:rsid w:val="00BC7EB9"/>
    <w:rsid w:val="00BD7EE8"/>
    <w:rsid w:val="00BF01D8"/>
    <w:rsid w:val="00C00641"/>
    <w:rsid w:val="00C20562"/>
    <w:rsid w:val="00C420D2"/>
    <w:rsid w:val="00C52BDA"/>
    <w:rsid w:val="00C93EA5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FD42-9E62-47E3-BCA2-DAEA3C95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</cp:revision>
  <cp:lastPrinted>1899-12-31T23:00:00Z</cp:lastPrinted>
  <dcterms:created xsi:type="dcterms:W3CDTF">2018-04-06T11:42:00Z</dcterms:created>
  <dcterms:modified xsi:type="dcterms:W3CDTF">2018-04-06T11:42:00Z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